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120"/>
        <w:ind w:left="120" w:right="120" w:hanging="0"/>
        <w:jc w:val="center"/>
        <w:rPr>
          <w:rFonts w:ascii="Liberation Serif" w:hAnsi="Liberation Serif" w:eastAsia="Times New Roman" w:cs="Arial"/>
          <w:sz w:val="28"/>
          <w:szCs w:val="28"/>
          <w:u w:val="single"/>
        </w:rPr>
      </w:pPr>
      <w:r>
        <w:rPr>
          <w:rFonts w:eastAsia="Times New Roman" w:cs="Arial" w:ascii="Liberation Serif" w:hAnsi="Liberation Serif"/>
          <w:b/>
          <w:bCs/>
          <w:color w:val="000000"/>
          <w:kern w:val="0"/>
          <w:sz w:val="28"/>
          <w:szCs w:val="28"/>
          <w:u w:val="single"/>
          <w:lang w:eastAsia="pt-BR"/>
        </w:rPr>
        <w:t>ANEXO I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CATEGORIAS DE APOIO – AUDIOVISUAL 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eastAsia="Times New Roman"/>
          <w:b/>
          <w:b/>
          <w:bCs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1. RECURSOS DO EDITAL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O presente edital possui valor total de </w:t>
      </w:r>
      <w:r>
        <w:rPr>
          <w:rFonts w:eastAsia="Times New Roman" w:ascii="Liberation Serif" w:hAnsi="Liberation Serif"/>
          <w:b/>
          <w:kern w:val="0"/>
          <w:sz w:val="24"/>
          <w:szCs w:val="24"/>
          <w:lang w:eastAsia="pt-BR"/>
        </w:rPr>
        <w:t>R$ 32.093,90</w:t>
      </w: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 (Trinta dois mil, noventa três reais, noventa centavos) distribuídos da seguinte forma: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a) Até </w:t>
      </w:r>
      <w:r>
        <w:rPr>
          <w:rFonts w:eastAsia="Times New Roman" w:ascii="Liberation Serif" w:hAnsi="Liberation Serif"/>
          <w:b/>
          <w:kern w:val="0"/>
          <w:sz w:val="24"/>
          <w:szCs w:val="24"/>
          <w:lang w:eastAsia="pt-BR"/>
        </w:rPr>
        <w:t>R$ 23.891,17</w:t>
      </w: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 (Vinte e três mil, oitocentos e noventa e um reais, dezessete centavos) para ​apoio a produção de obras audiovisuais, de curta-metragem;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b) Até </w:t>
      </w:r>
      <w:r>
        <w:rPr>
          <w:rFonts w:eastAsia="Times New Roman" w:ascii="Liberation Serif" w:hAnsi="Liberation Serif"/>
          <w:b/>
          <w:kern w:val="0"/>
          <w:sz w:val="24"/>
          <w:szCs w:val="24"/>
          <w:lang w:eastAsia="pt-BR"/>
        </w:rPr>
        <w:t>R$ 5.460,97</w:t>
      </w: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 (Cinco mil, quatrocentos e sessenta reais, noventa e sete centavos) para apoio à realização de ação de Cinema Itinerante ou Cinema de Rua;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c) Até </w:t>
      </w:r>
      <w:r>
        <w:rPr>
          <w:rFonts w:eastAsia="Times New Roman" w:ascii="Liberation Serif" w:hAnsi="Liberation Serif"/>
          <w:b/>
          <w:kern w:val="0"/>
          <w:sz w:val="24"/>
          <w:szCs w:val="24"/>
          <w:lang w:eastAsia="pt-BR"/>
        </w:rPr>
        <w:t>R$ 2.741,76</w:t>
      </w: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 (Dois mil, setecentos e quarenta e um reais, dezesseis centavos) para apoio à realização de ação de Formação Audiovisual.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2.DESCRIÇÃO DAS CATEGORIAS: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A) Inciso I do art. 6º da LPG: apoio a produção de obras audiovisuais de curta-metragem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curtas-metragens: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Para este edital, refere-se ao apoio concedido à produção de 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curta-metragem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 com duração de até </w:t>
      </w:r>
      <w:r>
        <w:rPr>
          <w:rFonts w:eastAsia="Times New Roman" w:ascii="Liberation Serif" w:hAnsi="Liberation Serif"/>
          <w:bCs/>
          <w:color w:val="000000"/>
          <w:kern w:val="0"/>
          <w:sz w:val="24"/>
          <w:szCs w:val="24"/>
          <w:lang w:eastAsia="pt-BR"/>
        </w:rPr>
        <w:t>30 minutos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 (ficção, documentário, animação, etc.)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projeto até a distribuição do vídeo/filme.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As produções devem estar contextualizadas com o tema: “Travesseiro...Nossa terra, nossa gente, nossa história.”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B) Inciso II do art. 6º da LPG: apoio à realização de ação de Cinema Itinerante ou Cinema de Rua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Cinema Itinerante: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Para este edital, 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cinema itinerante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 w:eastAsia="Times New Roman"/>
          <w:b/>
          <w:b/>
          <w:bCs/>
          <w:color w:val="000000"/>
          <w:kern w:val="0"/>
          <w:sz w:val="24"/>
          <w:szCs w:val="24"/>
          <w:u w:val="single"/>
          <w:lang w:eastAsia="pt-BR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Cinema de Rua: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Para este edital, 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cinema de rua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é um serviço de exibição aberta ao público de obras audiovisuais para fruição coletiva em espaços abertos, em locais públicos e em equipamentos móveis, de modo gratuito.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C) Inciso III do art. 6º da LPG: apoio à realização de ação de Formação Audiovisual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Formação Audiovisual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Neste edital, a 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Formação Audiovisual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refere-se ao apoio concedido para o desenvolvimento de 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oficinas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A 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Formação Audiovisual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deverá ser oferecida de forma gratuita aos participantes.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Deverá ser apresentado: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I - Detalhamento da metodologia de mediação/formação; 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II - Apresentação do currículo dos profissionais mediadores/formadores.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3. DISTRIBUIÇÃO DE VAGAS E VALORES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3.1. </w:t>
      </w:r>
      <w:r>
        <w:rPr>
          <w:rFonts w:ascii="Liberation Serif" w:hAnsi="Liberation Serif"/>
          <w:sz w:val="24"/>
          <w:szCs w:val="24"/>
        </w:rPr>
        <w:t>Considerando as cotas previstas, serão reservadas uma vaga para pessoas indígenas e uma vaga para pessoas negras.</w:t>
      </w:r>
    </w:p>
    <w:tbl>
      <w:tblPr>
        <w:tblW w:w="107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1575"/>
        <w:gridCol w:w="2550"/>
        <w:gridCol w:w="2160"/>
      </w:tblGrid>
      <w:tr>
        <w:trPr>
          <w:trHeight w:val="1028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 w:bidi="ar-SA"/>
              </w:rPr>
              <w:t>CATEGORIAS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b/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kern w:val="0"/>
                <w:sz w:val="24"/>
                <w:szCs w:val="24"/>
                <w:lang w:eastAsia="pt-BR" w:bidi="ar-SA"/>
              </w:rPr>
              <w:t>Nº VAGAS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b/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kern w:val="0"/>
                <w:sz w:val="24"/>
                <w:szCs w:val="24"/>
                <w:lang w:eastAsia="pt-BR" w:bidi="ar-SA"/>
              </w:rPr>
              <w:t>VALOR P/PROJETO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b/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kern w:val="0"/>
                <w:sz w:val="24"/>
                <w:szCs w:val="24"/>
                <w:lang w:eastAsia="pt-BR" w:bidi="ar-SA"/>
              </w:rPr>
              <w:t xml:space="preserve">VALOR TOTAL </w:t>
            </w:r>
          </w:p>
        </w:tc>
      </w:tr>
      <w:tr>
        <w:trPr>
          <w:trHeight w:val="1825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 w:bidi="ar-SA"/>
              </w:rPr>
              <w:t>Inciso I</w:t>
            </w: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Apoio a produção de obra audiovisual de curta-metragem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01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7.963,73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7.963,72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R$ 23.891,17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 w:bidi="ar-SA"/>
              </w:rPr>
              <w:t>Inciso II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Apoio à realização de ação de Cinema Itinerante ou Cinema de Rua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R$ 5.460,97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R$ 5.460,97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kern w:val="0"/>
                <w:sz w:val="24"/>
                <w:szCs w:val="24"/>
                <w:lang w:eastAsia="pt-BR" w:bidi="ar-SA"/>
              </w:rPr>
              <w:t>Inciso III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Ação de Formação Audiovisual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center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R$ 2.741,76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Autospacing="1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R$ 2.741,76</w:t>
            </w:r>
          </w:p>
        </w:tc>
      </w:tr>
    </w:tbl>
    <w:p>
      <w:pPr>
        <w:pStyle w:val="Normal"/>
        <w:widowControl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justificado">
    <w:name w:val="texto_justific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centralizado">
    <w:name w:val="texto_centraliz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503</TotalTime>
  <Application>LibreOffice/7.3.7.2$Windows_X86_64 LibreOffice_project/e114eadc50a9ff8d8c8a0567d6da8f454beeb84f</Application>
  <AppVersion>15.0000</AppVersion>
  <Pages>2</Pages>
  <Words>513</Words>
  <Characters>2787</Characters>
  <CharactersWithSpaces>3259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2023-10-02T15:31:10Z</dcterms:modified>
  <cp:revision>68</cp:revision>
  <dc:subject/>
  <dc:title/>
</cp:coreProperties>
</file>